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169" w:rsidRDefault="00BA0169" w:rsidP="00BA0169">
      <w:pPr>
        <w:rPr>
          <w:rFonts w:ascii="仿宋_GB2312" w:eastAsia="仿宋_GB2312" w:hint="eastAsia"/>
          <w:b/>
          <w:bCs/>
          <w:sz w:val="28"/>
          <w:szCs w:val="28"/>
        </w:rPr>
      </w:pPr>
      <w:r>
        <w:rPr>
          <w:rFonts w:ascii="仿宋_GB2312" w:eastAsia="仿宋_GB2312" w:hint="eastAsia"/>
          <w:b/>
          <w:bCs/>
          <w:sz w:val="28"/>
          <w:szCs w:val="28"/>
        </w:rPr>
        <w:t>附件1：企业简介</w:t>
      </w:r>
    </w:p>
    <w:p w:rsidR="00BA0169" w:rsidRDefault="00BA0169" w:rsidP="00BA0169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云南省建设投资控股集团有限公司（以下简称“云南建投集团”）于2016年4月21日,由原云南建工集团、十四冶建设集团和西南交建集团整合重组成立，2020年6月29日，集团按照云南省委、省政府深化国有企业改革决策部署，整合重组省水投公司。云南建投集团是由云南省国资委履行出资人职责，并授权开展国有资本投资运营的省属国有重要骨干企业，是云南省建设领域及相关产业的国有资本投资运营和建设主体。</w:t>
      </w:r>
    </w:p>
    <w:p w:rsidR="00BA0169" w:rsidRDefault="00BA0169" w:rsidP="00BA0169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集团现有在职职工33000余人，离退休人员30000余人，各类专业技术人员22000余人；有全资子公司、控股公司和直管企事业部57个；有各类资质781项，是云南省唯一拥有6项建筑工程施工总承包特级资质、2项公路工程施工总承包特级资质、1项市政公用工程施工总承包特级资质和1项水利水电工程施工总承包特级资质的企业。</w:t>
      </w:r>
    </w:p>
    <w:p w:rsidR="00BA0169" w:rsidRDefault="00BA0169" w:rsidP="00BA0169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集团业务涵盖基础设施投资建设、城乡建设投资开发、房地产开发投资、海外投资与建设、新兴产业投资开发、水利建设投资等；工业与民用建筑、路桥市政、钢结构、水利、水电机电设备安装、铁路、轻轨、机场、港口与航道、地基、矿山和冶炼等工程施工；现代物流、商品混凝土生产、建材与设备供销、冶炼化工装备制造、建筑科研、勘察设计、职业教育、建筑劳务等范围。</w:t>
      </w:r>
    </w:p>
    <w:p w:rsidR="00BA0169" w:rsidRDefault="00BA0169" w:rsidP="00BA0169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集团累计获得中国建筑工程鲁班奖46项，中国水利工程优质（大禹）奖3项，中国土木工程詹天佑奖1项，中国建筑工程钢结构金奖22项，中国安装工程优质奖（安装之星）46项，国家优质工程奖81项，部省级优质工程奖600余项;拥有国家级企业技术中心1个，院士工作站2个，博士后工作站1个；获国家级工法26项、省部级工法986项；获专利2135项，其中发明专利130项、实用新型专利2005项；登记软件著作权154项；获国家级、部省级科技成果2022项；主（参）编国家行业及地方标准125项。</w:t>
      </w:r>
    </w:p>
    <w:p w:rsidR="00BA0169" w:rsidRDefault="00BA0169" w:rsidP="00BA0169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2021年，云南建投集团在中国承包商80强中位列第6位，在中国100大跨国公司中位列66位，在中国企业500强中位列第157位，连续12次入选美国《工程新闻记录》（ENR）250强，位列第106位。</w:t>
      </w:r>
    </w:p>
    <w:p w:rsidR="00BA0169" w:rsidRDefault="00BA0169" w:rsidP="00BA0169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云南建投集团始终坚持融入和服务国家和云南发展战略，持续深化集团“1234”发展战略，以内涵式高质量发展为主题，以“稳中求进、进中求好”为主线，以改革创新为根本动力，坚持规模和效益并重、速度与质量并举，以高水平的“稳”推动高质量的“进”,奋力把集团打造成为体制新、机制活，投资引领、创新驱动、产业支撑、产融双驱，核心竞争力强、产业优势突出、员工满意度高的国内一流、世界知名的高质量世界500强企业。</w:t>
      </w:r>
    </w:p>
    <w:p w:rsidR="001A3AF5" w:rsidRPr="00BA0169" w:rsidRDefault="001A3AF5">
      <w:bookmarkStart w:id="0" w:name="_GoBack"/>
      <w:bookmarkEnd w:id="0"/>
    </w:p>
    <w:sectPr w:rsidR="001A3AF5" w:rsidRPr="00BA01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B9B" w:rsidRDefault="00A52B9B" w:rsidP="00BA0169">
      <w:r>
        <w:separator/>
      </w:r>
    </w:p>
  </w:endnote>
  <w:endnote w:type="continuationSeparator" w:id="0">
    <w:p w:rsidR="00A52B9B" w:rsidRDefault="00A52B9B" w:rsidP="00BA0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B9B" w:rsidRDefault="00A52B9B" w:rsidP="00BA0169">
      <w:r>
        <w:separator/>
      </w:r>
    </w:p>
  </w:footnote>
  <w:footnote w:type="continuationSeparator" w:id="0">
    <w:p w:rsidR="00A52B9B" w:rsidRDefault="00A52B9B" w:rsidP="00BA01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1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5D2"/>
    <w:rsid w:val="001A3AF5"/>
    <w:rsid w:val="00A52B9B"/>
    <w:rsid w:val="00BA0169"/>
    <w:rsid w:val="00BB7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29C2B3A-CDE1-4225-B770-F86773A45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0169"/>
    <w:pPr>
      <w:widowControl w:val="0"/>
      <w:jc w:val="both"/>
    </w:pPr>
    <w:rPr>
      <w:rFonts w:ascii="宋体" w:eastAsia="宋体" w:hAnsi="宋体" w:cs="Times New Roman"/>
      <w:color w:val="000000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01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color w:val="auto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A016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A016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color w:val="auto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A0169"/>
    <w:rPr>
      <w:sz w:val="18"/>
      <w:szCs w:val="18"/>
    </w:rPr>
  </w:style>
  <w:style w:type="paragraph" w:customStyle="1" w:styleId="CharCharCharChar">
    <w:name w:val="Char Char Char Char"/>
    <w:basedOn w:val="a"/>
    <w:rsid w:val="00BA0169"/>
    <w:rPr>
      <w:rFonts w:ascii="Tahoma" w:hAnsi="Tahoma"/>
      <w:b/>
      <w:color w:val="auto"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2022-09-13T10:56:00Z</dcterms:created>
  <dcterms:modified xsi:type="dcterms:W3CDTF">2022-09-13T10:56:00Z</dcterms:modified>
</cp:coreProperties>
</file>